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DC6" w:rsidRDefault="002B4F95">
      <w:pPr>
        <w:pStyle w:val="Standard"/>
        <w:rPr>
          <w:rFonts w:ascii="Calibri" w:hAnsi="Calibri"/>
          <w:b/>
          <w:bCs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/>
          <w:b/>
          <w:bCs/>
          <w:sz w:val="28"/>
          <w:szCs w:val="28"/>
          <w:lang w:val="en-US"/>
        </w:rPr>
        <w:t>Long Database Report</w:t>
      </w:r>
    </w:p>
    <w:p w:rsidR="00EB6DC6" w:rsidRDefault="002B4F95">
      <w:pPr>
        <w:pStyle w:val="Title"/>
      </w:pPr>
      <w:r>
        <w:t>ForestPlots.net -- managing permanent plot information across the tropics</w:t>
      </w:r>
    </w:p>
    <w:p w:rsidR="00EB6DC6" w:rsidRDefault="002B4F95">
      <w:pPr>
        <w:pStyle w:val="Autoren"/>
        <w:outlineLvl w:val="9"/>
      </w:pPr>
      <w:r>
        <w:t>Gabriela Lopez-Gonzalez, Simon L. Lewis, Mark Burkitt &amp; Oliver L. Phillips</w:t>
      </w:r>
    </w:p>
    <w:tbl>
      <w:tblPr>
        <w:tblW w:w="975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38"/>
        <w:gridCol w:w="2378"/>
        <w:gridCol w:w="2429"/>
        <w:gridCol w:w="570"/>
        <w:gridCol w:w="1935"/>
      </w:tblGrid>
      <w:tr w:rsidR="00EB6DC6">
        <w:tc>
          <w:tcPr>
            <w:tcW w:w="7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GIVD Database ID: </w:t>
            </w:r>
            <w:r>
              <w:rPr>
                <w:sz w:val="15"/>
                <w:szCs w:val="15"/>
                <w:lang w:val="en-US"/>
              </w:rPr>
              <w:t>00-00-001</w:t>
            </w:r>
          </w:p>
        </w:tc>
        <w:tc>
          <w:tcPr>
            <w:tcW w:w="1935" w:type="dxa"/>
            <w:tcBorders>
              <w:top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jc w:val="right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Last update:</w:t>
            </w:r>
            <w:r>
              <w:rPr>
                <w:sz w:val="15"/>
                <w:szCs w:val="15"/>
                <w:lang w:val="en-US"/>
              </w:rPr>
              <w:t xml:space="preserve"> 2018-11-09</w:t>
            </w:r>
          </w:p>
        </w:tc>
      </w:tr>
      <w:tr w:rsidR="00EB6DC6"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Standard"/>
              <w:snapToGrid w:val="0"/>
              <w:rPr>
                <w:rFonts w:ascii="Arial" w:hAnsi="Arial"/>
                <w:b/>
                <w:bCs/>
                <w:sz w:val="21"/>
                <w:szCs w:val="21"/>
                <w:lang w:val="en-US"/>
              </w:rPr>
            </w:pPr>
            <w:r>
              <w:rPr>
                <w:rFonts w:ascii="Arial" w:hAnsi="Arial"/>
                <w:b/>
                <w:bCs/>
                <w:sz w:val="21"/>
                <w:szCs w:val="21"/>
                <w:lang w:val="en-US"/>
              </w:rPr>
              <w:t>ForestPlots.net</w:t>
            </w:r>
          </w:p>
        </w:tc>
        <w:tc>
          <w:tcPr>
            <w:tcW w:w="4934" w:type="dxa"/>
            <w:gridSpan w:val="3"/>
            <w:tcBorders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snapToGrid w:val="0"/>
              <w:rPr>
                <w:b/>
                <w:bCs/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Web address: </w:t>
            </w:r>
            <w:r>
              <w:rPr>
                <w:sz w:val="15"/>
                <w:szCs w:val="15"/>
                <w:lang w:val="en-US"/>
              </w:rPr>
              <w:t>http://www.forestplots.net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Database manager(s):</w:t>
            </w:r>
            <w:r>
              <w:rPr>
                <w:sz w:val="15"/>
                <w:szCs w:val="15"/>
                <w:lang w:val="en-US"/>
              </w:rPr>
              <w:t xml:space="preserve"> Gabriela Lopez-Gonzalez (geoglg[at]leeds.ac.uk); Simon L. Lewis (s.l.lewis@leeds.ac.uk)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Owner: </w:t>
            </w:r>
            <w:r>
              <w:rPr>
                <w:sz w:val="15"/>
                <w:szCs w:val="15"/>
                <w:lang w:val="en-US"/>
              </w:rPr>
              <w:t>Information about the PI and data owners of each individual plot is available upon registration to ForestPlots.net.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Scope: </w:t>
            </w:r>
            <w:r>
              <w:rPr>
                <w:sz w:val="15"/>
                <w:szCs w:val="15"/>
                <w:lang w:val="en-US"/>
              </w:rPr>
              <w:t xml:space="preserve">The database is a web-accessible secure repository for forest plot inventories, collected mainly as part of the RAINFOR, AfriTRON and TROBIT networks. The database includes: </w:t>
            </w:r>
            <w:r>
              <w:rPr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br/>
              <w:t>•Plot geographical information.</w:t>
            </w:r>
            <w:r>
              <w:rPr>
                <w:sz w:val="15"/>
                <w:szCs w:val="15"/>
                <w:lang w:val="en-US"/>
              </w:rPr>
              <w:br/>
              <w:t>•Location, taxonomic information and diameter measurements of trees inside each plot.</w:t>
            </w:r>
            <w:r>
              <w:rPr>
                <w:sz w:val="15"/>
                <w:szCs w:val="15"/>
                <w:lang w:val="en-US"/>
              </w:rPr>
              <w:br/>
              <w:t>•Participants in plot establishment and re-measurement, including principal investigators, field assistants, students.</w:t>
            </w:r>
          </w:p>
        </w:tc>
      </w:tr>
      <w:tr w:rsidR="00EB6DC6">
        <w:tc>
          <w:tcPr>
            <w:tcW w:w="4816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Availability: </w:t>
            </w:r>
            <w:r>
              <w:rPr>
                <w:sz w:val="15"/>
                <w:szCs w:val="15"/>
                <w:lang w:val="en-US"/>
              </w:rPr>
              <w:t>according to a specific agreement</w:t>
            </w:r>
          </w:p>
        </w:tc>
        <w:tc>
          <w:tcPr>
            <w:tcW w:w="2429" w:type="dxa"/>
            <w:tcBorders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Online upload: </w:t>
            </w:r>
            <w:r>
              <w:rPr>
                <w:sz w:val="15"/>
                <w:szCs w:val="15"/>
                <w:lang w:val="en-US"/>
              </w:rPr>
              <w:t>yes</w:t>
            </w:r>
          </w:p>
        </w:tc>
        <w:tc>
          <w:tcPr>
            <w:tcW w:w="2505" w:type="dxa"/>
            <w:gridSpan w:val="2"/>
            <w:tcBorders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Online search: </w:t>
            </w:r>
            <w:r>
              <w:rPr>
                <w:sz w:val="15"/>
                <w:szCs w:val="15"/>
                <w:lang w:val="en-US"/>
              </w:rPr>
              <w:t>yes</w:t>
            </w:r>
          </w:p>
        </w:tc>
      </w:tr>
      <w:tr w:rsidR="00EB6DC6"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Database format(s):</w:t>
            </w:r>
            <w:r>
              <w:rPr>
                <w:sz w:val="15"/>
                <w:szCs w:val="15"/>
                <w:lang w:val="en-US"/>
              </w:rPr>
              <w:t xml:space="preserve"> other, SQL Server 2008</w:t>
            </w:r>
          </w:p>
        </w:tc>
        <w:tc>
          <w:tcPr>
            <w:tcW w:w="4934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Export format(s): </w:t>
            </w:r>
            <w:r>
              <w:rPr>
                <w:sz w:val="15"/>
                <w:szCs w:val="15"/>
                <w:lang w:val="en-US"/>
              </w:rPr>
              <w:t>MySQL, Excel, CSV file, Excel default export</w:t>
            </w:r>
          </w:p>
        </w:tc>
      </w:tr>
      <w:tr w:rsidR="00EB6DC6">
        <w:tc>
          <w:tcPr>
            <w:tcW w:w="4816" w:type="dxa"/>
            <w:gridSpan w:val="2"/>
            <w:tcBorders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Plot type(s): </w:t>
            </w:r>
            <w:r>
              <w:rPr>
                <w:sz w:val="15"/>
                <w:szCs w:val="15"/>
                <w:lang w:val="en-US"/>
              </w:rPr>
              <w:t>normal plots, nested plots, time series</w:t>
            </w:r>
          </w:p>
        </w:tc>
        <w:tc>
          <w:tcPr>
            <w:tcW w:w="4934" w:type="dxa"/>
            <w:gridSpan w:val="3"/>
            <w:tcBorders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Plot-size range:</w:t>
            </w:r>
            <w:r>
              <w:rPr>
                <w:sz w:val="15"/>
                <w:szCs w:val="15"/>
                <w:lang w:val="en-US"/>
              </w:rPr>
              <w:t xml:space="preserve"> 800 to 20000</w:t>
            </w:r>
          </w:p>
        </w:tc>
      </w:tr>
      <w:tr w:rsidR="00EB6DC6">
        <w:tc>
          <w:tcPr>
            <w:tcW w:w="2438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Non-overlapping plots:</w:t>
            </w:r>
            <w:r>
              <w:rPr>
                <w:b/>
                <w:bCs/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t>800</w:t>
            </w:r>
          </w:p>
        </w:tc>
        <w:tc>
          <w:tcPr>
            <w:tcW w:w="2378" w:type="dxa"/>
            <w:tcBorders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Estimate of existing plots:</w:t>
            </w:r>
            <w:r>
              <w:rPr>
                <w:b/>
                <w:bCs/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t>800</w:t>
            </w:r>
          </w:p>
        </w:tc>
        <w:tc>
          <w:tcPr>
            <w:tcW w:w="2429" w:type="dxa"/>
            <w:tcBorders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Completeness: </w:t>
            </w:r>
            <w:r>
              <w:rPr>
                <w:b/>
                <w:bCs/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t>100%</w:t>
            </w:r>
          </w:p>
        </w:tc>
        <w:tc>
          <w:tcPr>
            <w:tcW w:w="2505" w:type="dxa"/>
            <w:gridSpan w:val="2"/>
            <w:tcBorders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Status: </w:t>
            </w:r>
            <w:r>
              <w:rPr>
                <w:b/>
                <w:bCs/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t>ongoing capture</w:t>
            </w:r>
          </w:p>
        </w:tc>
      </w:tr>
      <w:tr w:rsidR="00EB6DC6">
        <w:tc>
          <w:tcPr>
            <w:tcW w:w="2438" w:type="dxa"/>
            <w:tcBorders>
              <w:left w:val="single" w:sz="4" w:space="0" w:color="000000"/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Total no. of plot observations:</w:t>
            </w:r>
            <w:r>
              <w:rPr>
                <w:b/>
                <w:bCs/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t>2653</w:t>
            </w:r>
          </w:p>
        </w:tc>
        <w:tc>
          <w:tcPr>
            <w:tcW w:w="4807" w:type="dxa"/>
            <w:gridSpan w:val="2"/>
            <w:tcBorders>
              <w:bottom w:val="single" w:sz="4" w:space="0" w:color="C0C0C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Number of sources (biblioreferences, data collectors):</w:t>
            </w:r>
            <w:r>
              <w:rPr>
                <w:b/>
                <w:bCs/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t>13</w:t>
            </w:r>
          </w:p>
        </w:tc>
        <w:tc>
          <w:tcPr>
            <w:tcW w:w="2505" w:type="dxa"/>
            <w:gridSpan w:val="2"/>
            <w:tcBorders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Valid taxa:</w:t>
            </w:r>
            <w:r>
              <w:rPr>
                <w:b/>
                <w:bCs/>
                <w:sz w:val="15"/>
                <w:szCs w:val="15"/>
                <w:lang w:val="en-US"/>
              </w:rPr>
              <w:br/>
            </w:r>
            <w:r>
              <w:rPr>
                <w:sz w:val="15"/>
                <w:szCs w:val="15"/>
                <w:lang w:val="en-US"/>
              </w:rPr>
              <w:t>7377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Countries (%): </w:t>
            </w:r>
            <w:r>
              <w:rPr>
                <w:sz w:val="15"/>
                <w:szCs w:val="15"/>
                <w:lang w:val="en-US"/>
              </w:rPr>
              <w:t>AU: 8.57; BO: 4; BR: 11.10; BN: 0.38; BF: 0.15; CM: 3.47; CF: 0.19; CO: 1.25; CG: 2.38; CD: 2.45; EC: 2.23; GQ: 0.11; GF: 3.44; GA: 6.50; GH: 2.49; GY: 1.59; ID: 2.49; LR: 1.66; MY: 6.61; ML: 0.08; NG: 2.42; PE: 8.50; TZ: 0.53; UG: 0.30; VE: 27.11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Formations: </w:t>
            </w:r>
            <w:r>
              <w:rPr>
                <w:sz w:val="15"/>
                <w:szCs w:val="15"/>
                <w:lang w:val="en-US"/>
              </w:rPr>
              <w:t>Forest: 100% = Terrestrial: 100%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Guilds: </w:t>
            </w:r>
            <w:r>
              <w:rPr>
                <w:sz w:val="15"/>
                <w:szCs w:val="15"/>
                <w:lang w:val="en-US"/>
              </w:rPr>
              <w:t>only trees and shrubs: 100%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Environmental data (%):</w:t>
            </w:r>
            <w:r>
              <w:rPr>
                <w:sz w:val="15"/>
                <w:szCs w:val="15"/>
                <w:lang w:val="en-US"/>
              </w:rPr>
              <w:t xml:space="preserve"> altitude: 80; slope aspect: 0; slope inclination: 0; microrelief: 0; surface cover other than plants (open soil, litter, bare rock etc.): 0; other soil attributes: 90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>Performance measure(s):</w:t>
            </w:r>
            <w:r>
              <w:rPr>
                <w:sz w:val="15"/>
                <w:szCs w:val="15"/>
                <w:lang w:val="en-US"/>
              </w:rPr>
              <w:t xml:space="preserve"> presence/absence only: 0%; cover: 0%; number of individuals: 100%; measurements like diameter or height of trees: 100%; biomass: 0%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Geographic localisation: </w:t>
            </w:r>
            <w:r>
              <w:rPr>
                <w:sz w:val="15"/>
                <w:szCs w:val="15"/>
                <w:lang w:val="en-US"/>
              </w:rPr>
              <w:t>GPS coordinates (precision 25 m or less): 80%; point coordinates less precise than GPS, up to 1 km: 100%; small grid (not coarser than 10 km): 20%; political units or only on a coarser scale ( above 10 km): 100%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rPr>
                <w:sz w:val="15"/>
                <w:szCs w:val="15"/>
                <w:lang w:val="en-US"/>
              </w:rPr>
            </w:pPr>
            <w:r>
              <w:rPr>
                <w:b/>
                <w:bCs/>
                <w:sz w:val="15"/>
                <w:szCs w:val="15"/>
                <w:lang w:val="en-US"/>
              </w:rPr>
              <w:t xml:space="preserve">Sampling periods: </w:t>
            </w:r>
            <w:r>
              <w:rPr>
                <w:sz w:val="15"/>
                <w:szCs w:val="15"/>
                <w:lang w:val="en-US"/>
              </w:rPr>
              <w:t>1930-1939: 0.04%; 1940-1949: 0.04%; 1950-1959: 0.19%; 1960-1969: 5.55%; 1970-1979: 13.33%; 1980-1989: 19.60%; 1990-1999: 21.33%; 2000-2009: 39.16%; 2010-2019: 0.76%; unknown: 0%</w:t>
            </w:r>
          </w:p>
        </w:tc>
      </w:tr>
      <w:tr w:rsidR="00EB6DC6">
        <w:tc>
          <w:tcPr>
            <w:tcW w:w="975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B6DC6" w:rsidRDefault="002B4F95">
            <w:pPr>
              <w:pStyle w:val="TableContents"/>
              <w:snapToGrid w:val="0"/>
              <w:jc w:val="center"/>
              <w:rPr>
                <w:b/>
                <w:bCs/>
                <w:i/>
                <w:sz w:val="15"/>
                <w:szCs w:val="15"/>
                <w:lang w:val="en-US"/>
              </w:rPr>
            </w:pPr>
            <w:r>
              <w:rPr>
                <w:b/>
                <w:bCs/>
                <w:i/>
                <w:sz w:val="15"/>
                <w:szCs w:val="15"/>
                <w:lang w:val="en-US"/>
              </w:rPr>
              <w:t>Information as of 2019-02-14 further details and future updates available from http://www.givd.info/ID/00-00-001</w:t>
            </w:r>
          </w:p>
        </w:tc>
      </w:tr>
    </w:tbl>
    <w:p w:rsidR="00EB6DC6" w:rsidRDefault="002B4F95">
      <w:pPr>
        <w:pStyle w:val="SDRAddress"/>
        <w:rPr>
          <w:lang w:val="en-US"/>
        </w:rPr>
      </w:pPr>
      <w:r>
        <w:rPr>
          <w:lang w:val="en-US"/>
        </w:rPr>
        <w:t>Gabriela Lopez-Gonzalez* (geoglg[at]leeds.ac.uk)</w:t>
      </w:r>
      <w:r>
        <w:rPr>
          <w:lang w:val="en-US"/>
        </w:rPr>
        <w:br/>
        <w:t>School of Geography, University of Leeds, UniversityRoad, LS2 9JT Leeds, UNITED KINGDOM</w:t>
      </w:r>
      <w:r>
        <w:rPr>
          <w:lang w:val="en-US"/>
        </w:rPr>
        <w:br/>
      </w:r>
      <w:r>
        <w:rPr>
          <w:lang w:val="en-US"/>
        </w:rPr>
        <w:br/>
        <w:t>Simon L. Lewis (s.l.lewis@leeds.ac.uk)</w:t>
      </w:r>
      <w:r>
        <w:rPr>
          <w:lang w:val="en-US"/>
        </w:rPr>
        <w:br/>
        <w:t>School of Geography, University of Leeds, UniversityRoad, LS2 9JT Leeds, UNITED KINGDOM</w:t>
      </w:r>
      <w:r>
        <w:rPr>
          <w:lang w:val="en-US"/>
        </w:rPr>
        <w:br/>
      </w:r>
      <w:r>
        <w:rPr>
          <w:lang w:val="en-US"/>
        </w:rPr>
        <w:br/>
        <w:t>Mark Burkitt (M.Burkitt@sheffield.ac.uk,)</w:t>
      </w:r>
      <w:r>
        <w:rPr>
          <w:lang w:val="en-US"/>
        </w:rPr>
        <w:br/>
        <w:t>Department of Computer Science, University of Sheffield, 211 Portobello, S1 4DP Sheffield, UNITED KINGDOM</w:t>
      </w:r>
      <w:r>
        <w:rPr>
          <w:lang w:val="en-US"/>
        </w:rPr>
        <w:br/>
      </w:r>
      <w:r>
        <w:rPr>
          <w:lang w:val="en-US"/>
        </w:rPr>
        <w:br/>
        <w:t>Oliver L. Phillips (o.phillips@leeds.ac.uk)</w:t>
      </w:r>
      <w:r>
        <w:rPr>
          <w:lang w:val="en-US"/>
        </w:rPr>
        <w:br/>
        <w:t>School of Geography, University of Leeds, UniversityRoad, LS2 9JT Leeds, UNITED KINGDOM</w:t>
      </w:r>
      <w:r>
        <w:rPr>
          <w:lang w:val="en-US"/>
        </w:rPr>
        <w:br/>
        <w:t>* corresponding author</w:t>
      </w:r>
    </w:p>
    <w:p w:rsidR="00EB6DC6" w:rsidRDefault="00EB6DC6">
      <w:pPr>
        <w:pStyle w:val="SDRAddress"/>
        <w:rPr>
          <w:lang w:val="en-US"/>
        </w:rPr>
      </w:pPr>
    </w:p>
    <w:sectPr w:rsidR="00EB6DC6">
      <w:headerReference w:type="default" r:id="rId8"/>
      <w:pgSz w:w="11906" w:h="16838"/>
      <w:pgMar w:top="1417" w:right="907" w:bottom="1417" w:left="124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4EF" w:rsidRDefault="002944EF">
      <w:r>
        <w:separator/>
      </w:r>
    </w:p>
  </w:endnote>
  <w:endnote w:type="continuationSeparator" w:id="0">
    <w:p w:rsidR="002944EF" w:rsidRDefault="00294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swiss"/>
    <w:pitch w:val="variable"/>
    <w:sig w:usb0="00000000" w:usb1="D200FDFF" w:usb2="00042029" w:usb3="00000000" w:csb0="8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 Mono">
    <w:charset w:val="8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4EF" w:rsidRDefault="002944EF">
      <w:r>
        <w:rPr>
          <w:color w:val="000000"/>
        </w:rPr>
        <w:separator/>
      </w:r>
    </w:p>
  </w:footnote>
  <w:footnote w:type="continuationSeparator" w:id="0">
    <w:p w:rsidR="002944EF" w:rsidRDefault="00294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810" w:rsidRDefault="002944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2954"/>
    <w:multiLevelType w:val="multilevel"/>
    <w:tmpl w:val="82043F8E"/>
    <w:styleLink w:val="XDocReportUL"/>
    <w:lvl w:ilvl="0">
      <w:numFmt w:val="bullet"/>
      <w:pStyle w:val="XDocReportULP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▪"/>
      <w:lvlJc w:val="left"/>
    </w:lvl>
    <w:lvl w:ilvl="3">
      <w:numFmt w:val="bullet"/>
      <w:lvlText w:val="•"/>
      <w:lvlJc w:val="left"/>
    </w:lvl>
    <w:lvl w:ilvl="4">
      <w:numFmt w:val="bullet"/>
      <w:lvlText w:val="◦"/>
      <w:lvlJc w:val="left"/>
    </w:lvl>
    <w:lvl w:ilvl="5">
      <w:numFmt w:val="bullet"/>
      <w:lvlText w:val="▪"/>
      <w:lvlJc w:val="left"/>
    </w:lvl>
    <w:lvl w:ilvl="6">
      <w:numFmt w:val="bullet"/>
      <w:lvlText w:val="•"/>
      <w:lvlJc w:val="left"/>
    </w:lvl>
    <w:lvl w:ilvl="7">
      <w:numFmt w:val="bullet"/>
      <w:lvlText w:val="◦"/>
      <w:lvlJc w:val="left"/>
    </w:lvl>
    <w:lvl w:ilvl="8">
      <w:numFmt w:val="bullet"/>
      <w:lvlText w:val="▪"/>
      <w:lvlJc w:val="left"/>
    </w:lvl>
  </w:abstractNum>
  <w:abstractNum w:abstractNumId="1">
    <w:nsid w:val="1A6A0832"/>
    <w:multiLevelType w:val="multilevel"/>
    <w:tmpl w:val="450AEE00"/>
    <w:styleLink w:val="XDocReportOL"/>
    <w:lvl w:ilvl="0">
      <w:start w:val="1"/>
      <w:numFmt w:val="decimal"/>
      <w:pStyle w:val="XDocReportOLP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F2630E3"/>
    <w:multiLevelType w:val="multilevel"/>
    <w:tmpl w:val="4EEE63F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6DC6"/>
    <w:rsid w:val="002944EF"/>
    <w:rsid w:val="002B4F95"/>
    <w:rsid w:val="007A22D9"/>
    <w:rsid w:val="00CC0703"/>
    <w:rsid w:val="00EB6DC6"/>
    <w:rsid w:val="00EC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Calibri" w:hAnsi="Calibri"/>
      <w:b/>
      <w:bCs/>
      <w:szCs w:val="32"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pPr>
      <w:outlineLvl w:val="4"/>
    </w:pPr>
    <w:rPr>
      <w:b/>
    </w:rPr>
  </w:style>
  <w:style w:type="paragraph" w:styleId="Heading6">
    <w:name w:val="heading 6"/>
    <w:basedOn w:val="Heading"/>
    <w:next w:val="Textbody"/>
    <w:pPr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rFonts w:ascii="Arial" w:hAnsi="Aria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DejaVu Sans Mono" w:hAnsi="DejaVu Sans Mono" w:cs="DejaVu Sans Mono"/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876"/>
        <w:tab w:val="right" w:pos="9752"/>
      </w:tabs>
    </w:pPr>
  </w:style>
  <w:style w:type="paragraph" w:styleId="Title">
    <w:name w:val="Title"/>
    <w:basedOn w:val="Heading"/>
    <w:next w:val="Subtitle"/>
    <w:rPr>
      <w:rFonts w:ascii="Calibri" w:hAnsi="Calibri"/>
      <w:b/>
      <w:bCs/>
      <w:sz w:val="48"/>
      <w:szCs w:val="36"/>
      <w:lang w:val="en-US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Autoren">
    <w:name w:val="Autoren"/>
    <w:basedOn w:val="Heading4"/>
    <w:autoRedefine/>
    <w:pPr>
      <w:spacing w:before="482" w:after="482"/>
    </w:pPr>
    <w:rPr>
      <w:rFonts w:ascii="Calibri" w:hAnsi="Calibri"/>
      <w:b w:val="0"/>
      <w:bCs w:val="0"/>
      <w:i w:val="0"/>
      <w:sz w:val="28"/>
      <w:lang w:val="en-U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List5Cont">
    <w:name w:val="List 5 Cont."/>
    <w:basedOn w:val="List"/>
    <w:pPr>
      <w:ind w:left="1800"/>
    </w:pPr>
  </w:style>
  <w:style w:type="paragraph" w:customStyle="1" w:styleId="UserIndex2">
    <w:name w:val="User Index 2"/>
    <w:basedOn w:val="Index"/>
    <w:pPr>
      <w:tabs>
        <w:tab w:val="right" w:leader="dot" w:pos="9752"/>
      </w:tabs>
      <w:ind w:left="283"/>
    </w:pPr>
  </w:style>
  <w:style w:type="paragraph" w:styleId="List5">
    <w:name w:val="List 5"/>
    <w:basedOn w:val="List"/>
    <w:pPr>
      <w:ind w:left="1800" w:hanging="360"/>
    </w:pPr>
  </w:style>
  <w:style w:type="paragraph" w:customStyle="1" w:styleId="Abstract">
    <w:name w:val="Abstract"/>
    <w:basedOn w:val="List5"/>
    <w:pPr>
      <w:spacing w:after="221"/>
      <w:ind w:left="0" w:firstLine="0"/>
      <w:jc w:val="both"/>
    </w:pPr>
    <w:rPr>
      <w:sz w:val="18"/>
    </w:rPr>
  </w:style>
  <w:style w:type="paragraph" w:customStyle="1" w:styleId="Text">
    <w:name w:val="Text"/>
    <w:basedOn w:val="Caption"/>
  </w:style>
  <w:style w:type="paragraph" w:customStyle="1" w:styleId="SDRAddress">
    <w:name w:val="SDR_Address"/>
    <w:basedOn w:val="Text"/>
    <w:pPr>
      <w:spacing w:before="119" w:after="221"/>
    </w:pPr>
    <w:rPr>
      <w:i w:val="0"/>
      <w:sz w:val="18"/>
    </w:rPr>
  </w:style>
  <w:style w:type="paragraph" w:customStyle="1" w:styleId="LDRAddress">
    <w:name w:val="LDR_Address"/>
    <w:basedOn w:val="Autoren"/>
  </w:style>
  <w:style w:type="paragraph" w:styleId="Header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PageNumber">
    <w:name w:val="page number"/>
    <w:basedOn w:val="WW-Absatz-Standardschriftart"/>
    <w:rPr>
      <w:sz w:val="20"/>
    </w:rPr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position w:val="0"/>
      <w:vertAlign w:val="subscript"/>
    </w:rPr>
  </w:style>
  <w:style w:type="character" w:customStyle="1" w:styleId="XDocReportSuperscript">
    <w:name w:val="XDocReport_Superscript"/>
    <w:rPr>
      <w:position w:val="0"/>
      <w:vertAlign w:val="superscript"/>
    </w:rPr>
  </w:style>
  <w:style w:type="paragraph" w:customStyle="1" w:styleId="XDocReportParaBreakBefore">
    <w:name w:val="XDocReport_ParaBreakBefore"/>
    <w:pPr>
      <w:pageBreakBefore/>
    </w:pPr>
  </w:style>
  <w:style w:type="paragraph" w:customStyle="1" w:styleId="XDocReportParaBreakAfter">
    <w:name w:val="XDocReport_ParaBreakAfter"/>
  </w:style>
  <w:style w:type="paragraph" w:customStyle="1" w:styleId="XDocReportOLP">
    <w:name w:val="XDocReport_OL_P"/>
    <w:basedOn w:val="Standard"/>
    <w:pPr>
      <w:numPr>
        <w:numId w:val="2"/>
      </w:numPr>
    </w:pPr>
  </w:style>
  <w:style w:type="paragraph" w:customStyle="1" w:styleId="XDocReportULP">
    <w:name w:val="XDocReport_UL_P"/>
    <w:basedOn w:val="Standard"/>
    <w:pPr>
      <w:numPr>
        <w:numId w:val="3"/>
      </w:numPr>
    </w:p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XDocReportOL">
    <w:name w:val="XDocReport_OL"/>
    <w:basedOn w:val="NoList"/>
    <w:pPr>
      <w:numPr>
        <w:numId w:val="2"/>
      </w:numPr>
    </w:pPr>
  </w:style>
  <w:style w:type="numbering" w:customStyle="1" w:styleId="XDocReportUL">
    <w:name w:val="XDocReport_UL"/>
    <w:basedOn w:val="NoList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rFonts w:ascii="Calibri" w:hAnsi="Calibri"/>
      <w:b/>
      <w:bCs/>
      <w:szCs w:val="32"/>
    </w:rPr>
  </w:style>
  <w:style w:type="paragraph" w:styleId="Heading2">
    <w:name w:val="heading 2"/>
    <w:basedOn w:val="Heading"/>
    <w:next w:val="Textbody"/>
    <w:pPr>
      <w:outlineLvl w:val="1"/>
    </w:pPr>
    <w:rPr>
      <w:b/>
      <w:bCs/>
      <w:i/>
      <w:iCs/>
    </w:rPr>
  </w:style>
  <w:style w:type="paragraph" w:styleId="Heading3">
    <w:name w:val="heading 3"/>
    <w:basedOn w:val="Heading"/>
    <w:next w:val="Textbody"/>
    <w:pPr>
      <w:outlineLvl w:val="2"/>
    </w:pPr>
    <w:rPr>
      <w:b/>
      <w:bCs/>
    </w:rPr>
  </w:style>
  <w:style w:type="paragraph" w:styleId="Heading4">
    <w:name w:val="heading 4"/>
    <w:basedOn w:val="Heading"/>
    <w:next w:val="Textbody"/>
    <w:p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pPr>
      <w:outlineLvl w:val="4"/>
    </w:pPr>
    <w:rPr>
      <w:b/>
    </w:rPr>
  </w:style>
  <w:style w:type="paragraph" w:styleId="Heading6">
    <w:name w:val="heading 6"/>
    <w:basedOn w:val="Heading"/>
    <w:next w:val="Textbody"/>
    <w:pPr>
      <w:outlineLvl w:val="5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  <w:rPr>
      <w:rFonts w:ascii="Arial" w:hAnsi="Arial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Pr>
      <w:rFonts w:ascii="DejaVu Sans Mono" w:hAnsi="DejaVu Sans Mono" w:cs="DejaVu Sans Mono"/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876"/>
        <w:tab w:val="right" w:pos="9752"/>
      </w:tabs>
    </w:pPr>
  </w:style>
  <w:style w:type="paragraph" w:styleId="Title">
    <w:name w:val="Title"/>
    <w:basedOn w:val="Heading"/>
    <w:next w:val="Subtitle"/>
    <w:rPr>
      <w:rFonts w:ascii="Calibri" w:hAnsi="Calibri"/>
      <w:b/>
      <w:bCs/>
      <w:sz w:val="48"/>
      <w:szCs w:val="36"/>
      <w:lang w:val="en-US"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customStyle="1" w:styleId="Autoren">
    <w:name w:val="Autoren"/>
    <w:basedOn w:val="Heading4"/>
    <w:autoRedefine/>
    <w:pPr>
      <w:spacing w:before="482" w:after="482"/>
    </w:pPr>
    <w:rPr>
      <w:rFonts w:ascii="Calibri" w:hAnsi="Calibri"/>
      <w:b w:val="0"/>
      <w:bCs w:val="0"/>
      <w:i w:val="0"/>
      <w:sz w:val="28"/>
      <w:lang w:val="en-US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List5Cont">
    <w:name w:val="List 5 Cont."/>
    <w:basedOn w:val="List"/>
    <w:pPr>
      <w:ind w:left="1800"/>
    </w:pPr>
  </w:style>
  <w:style w:type="paragraph" w:customStyle="1" w:styleId="UserIndex2">
    <w:name w:val="User Index 2"/>
    <w:basedOn w:val="Index"/>
    <w:pPr>
      <w:tabs>
        <w:tab w:val="right" w:leader="dot" w:pos="9752"/>
      </w:tabs>
      <w:ind w:left="283"/>
    </w:pPr>
  </w:style>
  <w:style w:type="paragraph" w:styleId="List5">
    <w:name w:val="List 5"/>
    <w:basedOn w:val="List"/>
    <w:pPr>
      <w:ind w:left="1800" w:hanging="360"/>
    </w:pPr>
  </w:style>
  <w:style w:type="paragraph" w:customStyle="1" w:styleId="Abstract">
    <w:name w:val="Abstract"/>
    <w:basedOn w:val="List5"/>
    <w:pPr>
      <w:spacing w:after="221"/>
      <w:ind w:left="0" w:firstLine="0"/>
      <w:jc w:val="both"/>
    </w:pPr>
    <w:rPr>
      <w:sz w:val="18"/>
    </w:rPr>
  </w:style>
  <w:style w:type="paragraph" w:customStyle="1" w:styleId="Text">
    <w:name w:val="Text"/>
    <w:basedOn w:val="Caption"/>
  </w:style>
  <w:style w:type="paragraph" w:customStyle="1" w:styleId="SDRAddress">
    <w:name w:val="SDR_Address"/>
    <w:basedOn w:val="Text"/>
    <w:pPr>
      <w:spacing w:before="119" w:after="221"/>
    </w:pPr>
    <w:rPr>
      <w:i w:val="0"/>
      <w:sz w:val="18"/>
    </w:rPr>
  </w:style>
  <w:style w:type="paragraph" w:customStyle="1" w:styleId="LDRAddress">
    <w:name w:val="LDR_Address"/>
    <w:basedOn w:val="Autoren"/>
  </w:style>
  <w:style w:type="paragraph" w:styleId="Header">
    <w:name w:val="head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customStyle="1" w:styleId="Framecontents">
    <w:name w:val="Frame contents"/>
    <w:basedOn w:val="Textbody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PageNumber">
    <w:name w:val="page number"/>
    <w:basedOn w:val="WW-Absatz-Standardschriftart"/>
    <w:rPr>
      <w:sz w:val="20"/>
    </w:rPr>
  </w:style>
  <w:style w:type="character" w:customStyle="1" w:styleId="XDocReportEmptyText">
    <w:name w:val="XDocReport_EmptyText"/>
  </w:style>
  <w:style w:type="character" w:customStyle="1" w:styleId="XDocReportBold">
    <w:name w:val="XDocReport_Bold"/>
    <w:rPr>
      <w:b/>
    </w:rPr>
  </w:style>
  <w:style w:type="character" w:customStyle="1" w:styleId="XDocReportItalic">
    <w:name w:val="XDocReport_Italic"/>
    <w:rPr>
      <w:i/>
    </w:rPr>
  </w:style>
  <w:style w:type="character" w:customStyle="1" w:styleId="XDocReportUnderline">
    <w:name w:val="XDocReport_Underline"/>
    <w:rPr>
      <w:u w:val="single"/>
    </w:rPr>
  </w:style>
  <w:style w:type="character" w:customStyle="1" w:styleId="XDocReportStrike">
    <w:name w:val="XDocReport_Strike"/>
    <w:rPr>
      <w:strike/>
      <w:u w:val="none"/>
    </w:rPr>
  </w:style>
  <w:style w:type="character" w:customStyle="1" w:styleId="XDocReportSubscript">
    <w:name w:val="XDocReport_Subscript"/>
    <w:rPr>
      <w:position w:val="0"/>
      <w:vertAlign w:val="subscript"/>
    </w:rPr>
  </w:style>
  <w:style w:type="character" w:customStyle="1" w:styleId="XDocReportSuperscript">
    <w:name w:val="XDocReport_Superscript"/>
    <w:rPr>
      <w:position w:val="0"/>
      <w:vertAlign w:val="superscript"/>
    </w:rPr>
  </w:style>
  <w:style w:type="paragraph" w:customStyle="1" w:styleId="XDocReportParaBreakBefore">
    <w:name w:val="XDocReport_ParaBreakBefore"/>
    <w:pPr>
      <w:pageBreakBefore/>
    </w:pPr>
  </w:style>
  <w:style w:type="paragraph" w:customStyle="1" w:styleId="XDocReportParaBreakAfter">
    <w:name w:val="XDocReport_ParaBreakAfter"/>
  </w:style>
  <w:style w:type="paragraph" w:customStyle="1" w:styleId="XDocReportOLP">
    <w:name w:val="XDocReport_OL_P"/>
    <w:basedOn w:val="Standard"/>
    <w:pPr>
      <w:numPr>
        <w:numId w:val="2"/>
      </w:numPr>
    </w:pPr>
  </w:style>
  <w:style w:type="paragraph" w:customStyle="1" w:styleId="XDocReportULP">
    <w:name w:val="XDocReport_UL_P"/>
    <w:basedOn w:val="Standard"/>
    <w:pPr>
      <w:numPr>
        <w:numId w:val="3"/>
      </w:numPr>
    </w:p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XDocReportOL">
    <w:name w:val="XDocReport_OL"/>
    <w:basedOn w:val="NoList"/>
    <w:pPr>
      <w:numPr>
        <w:numId w:val="2"/>
      </w:numPr>
    </w:pPr>
  </w:style>
  <w:style w:type="numbering" w:customStyle="1" w:styleId="XDocReportUL">
    <w:name w:val="XDocReport_UL"/>
    <w:basedOn w:val="NoLis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MRAC - KMMA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Falko Glöckler</dc:creator>
  <cp:lastModifiedBy>Kempenaers José</cp:lastModifiedBy>
  <cp:revision>2</cp:revision>
  <dcterms:created xsi:type="dcterms:W3CDTF">2019-02-28T11:09:00Z</dcterms:created>
  <dcterms:modified xsi:type="dcterms:W3CDTF">2019-02-28T11:09:00Z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